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7BDB64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04542">
        <w:rPr>
          <w:bCs/>
          <w:noProof w:val="0"/>
          <w:sz w:val="24"/>
          <w:szCs w:val="24"/>
        </w:rPr>
        <w:t>06603</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69096B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04542">
        <w:rPr>
          <w:rFonts w:cs="Arial"/>
          <w:b/>
          <w:bCs/>
          <w:sz w:val="24"/>
        </w:rPr>
        <w:t>10.2.6.1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bookmarkStart w:id="1" w:name="_GoBack"/>
      <w:bookmarkEnd w:id="1"/>
    </w:p>
    <w:p w14:paraId="45BE90BE" w14:textId="5E3EE5E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74FAD">
        <w:rPr>
          <w:rFonts w:ascii="Arial" w:hAnsi="Arial" w:cs="Arial"/>
          <w:b/>
          <w:bCs/>
          <w:sz w:val="24"/>
        </w:rPr>
        <w:t>UE categories for LTE-NR 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06001BF" w14:textId="70204108" w:rsidR="00FE630F" w:rsidRDefault="00674FAD" w:rsidP="00CD4C7B">
      <w:r w:rsidRPr="00674FAD">
        <w:t xml:space="preserve">In response to the questions raised </w:t>
      </w:r>
      <w:r>
        <w:t xml:space="preserve">by RAN2 </w:t>
      </w:r>
      <w:r w:rsidR="000747F3">
        <w:t xml:space="preserve">in the </w:t>
      </w:r>
      <w:r w:rsidRPr="00674FAD">
        <w:t>LS</w:t>
      </w:r>
      <w:r>
        <w:t xml:space="preserve"> </w:t>
      </w:r>
      <w:hyperlink r:id="rId12" w:history="1">
        <w:r w:rsidR="00FE630F" w:rsidRPr="00FE630F">
          <w:rPr>
            <w:rStyle w:val="Hyperlink"/>
          </w:rPr>
          <w:t>R2-1706141</w:t>
        </w:r>
      </w:hyperlink>
      <w:r w:rsidRPr="00674FAD">
        <w:t xml:space="preserve">, RAN </w:t>
      </w:r>
      <w:r w:rsidR="000747F3">
        <w:t xml:space="preserve">plenary </w:t>
      </w:r>
      <w:r w:rsidR="00FE630F">
        <w:t>sent a reply</w:t>
      </w:r>
      <w:r w:rsidR="00495611">
        <w:t xml:space="preserve"> LS </w:t>
      </w:r>
      <w:r w:rsidR="000747F3">
        <w:t xml:space="preserve">in </w:t>
      </w:r>
      <w:hyperlink r:id="rId13" w:history="1">
        <w:r w:rsidR="00495611" w:rsidRPr="00FE630F">
          <w:rPr>
            <w:rStyle w:val="Hyperlink"/>
          </w:rPr>
          <w:t>R2-1706314</w:t>
        </w:r>
      </w:hyperlink>
      <w:r w:rsidR="00495611" w:rsidRPr="00495611">
        <w:t xml:space="preserve"> </w:t>
      </w:r>
      <w:r w:rsidR="00FE630F">
        <w:t xml:space="preserve">to RAN2. The RAN conclusions was that </w:t>
      </w:r>
      <w:r w:rsidRPr="00674FAD">
        <w:t xml:space="preserve">RAN WGs </w:t>
      </w:r>
      <w:r w:rsidR="00FE630F">
        <w:t xml:space="preserve">should </w:t>
      </w:r>
      <w:r w:rsidRPr="00674FAD">
        <w:t>decide how the target peak data rate can be supported for LTE-NR DC and NR standalone (e.g. whether the existing concept of UE category is used or a new concept in defining the target peak data rate is introduced). In addition, RAN agreed to have an email discussion until RAN#77 to discuss the act</w:t>
      </w:r>
      <w:r>
        <w:t xml:space="preserve">ual target peak data rates for </w:t>
      </w:r>
      <w:r w:rsidRPr="00674FAD">
        <w:t>LTE-NR DC and NR standalone</w:t>
      </w:r>
      <w:r w:rsidR="00FE630F">
        <w:t>.</w:t>
      </w:r>
    </w:p>
    <w:p w14:paraId="1424A707" w14:textId="189B5758" w:rsidR="00674FAD" w:rsidRDefault="00FE630F" w:rsidP="00CD4C7B">
      <w:r>
        <w:t>In this contribution, we discuss the RAN2 aspects of the UE categories for LTE-NR. We discuss mainly EN-DC case (as that has the highest priority), but most (even all) of the details could also be applicable to any MR-DC operation.</w:t>
      </w:r>
    </w:p>
    <w:p w14:paraId="127ACA6D" w14:textId="011C7949" w:rsidR="00CD4C7B" w:rsidRPr="006E13D1" w:rsidRDefault="00CD4C7B" w:rsidP="00CD4C7B">
      <w:pPr>
        <w:pStyle w:val="Heading1"/>
      </w:pPr>
      <w:r w:rsidRPr="006E13D1">
        <w:t>2</w:t>
      </w:r>
      <w:r w:rsidRPr="006E13D1">
        <w:tab/>
      </w:r>
      <w:r w:rsidR="00674FAD">
        <w:t>UE categories</w:t>
      </w:r>
      <w:r w:rsidRPr="006E13D1">
        <w:t xml:space="preserve"> </w:t>
      </w:r>
      <w:r w:rsidR="00FE630F">
        <w:t>for LTE-NR DC</w:t>
      </w:r>
    </w:p>
    <w:p w14:paraId="2A4833EA" w14:textId="2FF9BAC7" w:rsidR="00FE630F" w:rsidRPr="006E13D1" w:rsidRDefault="00FE630F" w:rsidP="00FE630F">
      <w:pPr>
        <w:pStyle w:val="Heading2"/>
      </w:pPr>
      <w:r>
        <w:t>2</w:t>
      </w:r>
      <w:r w:rsidRPr="006E13D1">
        <w:t>.1</w:t>
      </w:r>
      <w:r w:rsidRPr="006E13D1">
        <w:tab/>
      </w:r>
      <w:r>
        <w:t>UE category handling in LTE</w:t>
      </w:r>
      <w:r w:rsidRPr="006E13D1">
        <w:t xml:space="preserve"> </w:t>
      </w:r>
    </w:p>
    <w:p w14:paraId="56AECFB9" w14:textId="06780D0A" w:rsidR="00AF10A5" w:rsidRDefault="00FE630F" w:rsidP="00CD4C7B">
      <w:r>
        <w:t>UE categories in LTE serve multiple roles: They determine the minimum UE design constraints</w:t>
      </w:r>
      <w:r w:rsidR="00AF10A5">
        <w:t xml:space="preserve"> and facilitate testing, </w:t>
      </w:r>
      <w:r>
        <w:t xml:space="preserve">but also </w:t>
      </w:r>
      <w:r w:rsidR="00AF10A5">
        <w:t>indicate the scheduling constraints for eNB to ensure proper behaviour. The UE categories are defined by these design constraint parameters, even if they also (in practice) define certain maximum peak throughputs. The discretization of UE capabilities into UE categories also tends to lessen market fragmentation, as there is some harmonization of UE types that appear in the market, which makes it simpler for networks to handle the UEs.</w:t>
      </w:r>
    </w:p>
    <w:p w14:paraId="632C8F95" w14:textId="35FB1884" w:rsidR="00AF10A5" w:rsidRDefault="00AF10A5" w:rsidP="00CD4C7B">
      <w:r>
        <w:t>Historically, LTE UE categories were first defined as combined UL+DL categories, and then later split to separated UL and DL categories. For backward compatibility, “fallback” UE categories have also been defined, and only certain combinations of UL+DL categories are allowed (to have a smaller number of possible combinations). The fallback categories are used because UE must be able to operate in legacy networks: E.g. a Rel-10 UE still has to indicate a UE category that a Rel-8-compatible network can recognize.</w:t>
      </w:r>
      <w:r w:rsidR="00977465">
        <w:t xml:space="preserve"> These indications also have to be consistent, i.e. UE shall not indicate e.g. lower data</w:t>
      </w:r>
      <w:r w:rsidR="004143D6">
        <w:t xml:space="preserve"> </w:t>
      </w:r>
      <w:r w:rsidR="00977465">
        <w:t>rate UE category via Rel-10 signalling that is supported via Rel-8 signalling.</w:t>
      </w:r>
    </w:p>
    <w:p w14:paraId="0A25F53C" w14:textId="332C4E72" w:rsidR="00AF10A5" w:rsidRDefault="00AF10A5" w:rsidP="00CD4C7B">
      <w:r w:rsidRPr="00977465">
        <w:rPr>
          <w:b/>
        </w:rPr>
        <w:t>Observation 1:</w:t>
      </w:r>
      <w:r>
        <w:t xml:space="preserve"> LTE UE may indicate multiple UE categories, but the indications have to be consistent</w:t>
      </w:r>
      <w:r w:rsidR="004143D6">
        <w:t xml:space="preserve"> </w:t>
      </w:r>
      <w:r>
        <w:t>(i.e. UE cannot ind</w:t>
      </w:r>
      <w:r w:rsidR="00977465">
        <w:t xml:space="preserve">icate lower data rate for </w:t>
      </w:r>
      <w:r w:rsidR="00E1203B">
        <w:t>standalone UE categories than non-standalone ones)</w:t>
      </w:r>
      <w:r w:rsidR="00977465">
        <w:t>.</w:t>
      </w:r>
    </w:p>
    <w:p w14:paraId="6CB98EF1" w14:textId="4237654A" w:rsidR="00977465" w:rsidRPr="006E13D1" w:rsidRDefault="00977465" w:rsidP="00977465">
      <w:pPr>
        <w:pStyle w:val="Heading2"/>
      </w:pPr>
      <w:r>
        <w:t>2</w:t>
      </w:r>
      <w:r w:rsidRPr="006E13D1">
        <w:t>.</w:t>
      </w:r>
      <w:r>
        <w:t>2</w:t>
      </w:r>
      <w:r w:rsidRPr="006E13D1">
        <w:tab/>
      </w:r>
      <w:r>
        <w:t>UE categories for NR standalone operation</w:t>
      </w:r>
    </w:p>
    <w:p w14:paraId="67AD2A77" w14:textId="206BB416" w:rsidR="00977465" w:rsidRDefault="00977465" w:rsidP="00CD4C7B">
      <w:r>
        <w:t xml:space="preserve">The UE categories for standalone NR operation have not yet been defined, as the focus of the NR work in Phase 1 is in the LTE-NR non-standalone operation. Therefore, it is not yet fully known which UE categories will be defined for NR, which is also acknowledged by the RAN LS </w:t>
      </w:r>
      <w:hyperlink r:id="rId14" w:history="1">
        <w:r w:rsidR="000747F3" w:rsidRPr="00FE630F">
          <w:rPr>
            <w:rStyle w:val="Hyperlink"/>
          </w:rPr>
          <w:t>R2-1706314</w:t>
        </w:r>
      </w:hyperlink>
      <w:r w:rsidR="000747F3" w:rsidRPr="00495611">
        <w:t xml:space="preserve"> </w:t>
      </w:r>
      <w:r>
        <w:t>as shown below:</w:t>
      </w:r>
    </w:p>
    <w:tbl>
      <w:tblPr>
        <w:tblStyle w:val="TableGrid"/>
        <w:tblW w:w="0" w:type="auto"/>
        <w:jc w:val="center"/>
        <w:tblLook w:val="04A0" w:firstRow="1" w:lastRow="0" w:firstColumn="1" w:lastColumn="0" w:noHBand="0" w:noVBand="1"/>
      </w:tblPr>
      <w:tblGrid>
        <w:gridCol w:w="7933"/>
      </w:tblGrid>
      <w:tr w:rsidR="00977465" w14:paraId="76F69E0C" w14:textId="77777777" w:rsidTr="00977465">
        <w:trPr>
          <w:jc w:val="center"/>
        </w:trPr>
        <w:tc>
          <w:tcPr>
            <w:tcW w:w="7933" w:type="dxa"/>
          </w:tcPr>
          <w:p w14:paraId="6E1A35C8" w14:textId="77777777" w:rsidR="00977465" w:rsidRPr="00674FAD" w:rsidRDefault="00977465" w:rsidP="00977465">
            <w:r w:rsidRPr="00674FAD">
              <w:t>On Item 2) and 3) below:</w:t>
            </w:r>
          </w:p>
          <w:p w14:paraId="7E8E2A92" w14:textId="77777777" w:rsidR="00977465" w:rsidRPr="00674FAD" w:rsidRDefault="00977465" w:rsidP="00977465">
            <w:pPr>
              <w:rPr>
                <w:i/>
              </w:rPr>
            </w:pPr>
            <w:r w:rsidRPr="00674FAD">
              <w:rPr>
                <w:i/>
              </w:rPr>
              <w:t>2) The target peak data rate in DL and UL to be supported for Option 3 until December 2017.</w:t>
            </w:r>
          </w:p>
          <w:p w14:paraId="2F04190D" w14:textId="77777777" w:rsidR="00977465" w:rsidRPr="00674FAD" w:rsidRDefault="00977465" w:rsidP="00977465">
            <w:pPr>
              <w:rPr>
                <w:i/>
              </w:rPr>
            </w:pPr>
            <w:r w:rsidRPr="00674FAD">
              <w:rPr>
                <w:i/>
              </w:rPr>
              <w:t>3) The target peak data rate in DL and UL to be supported for the other options until June 2018.</w:t>
            </w:r>
          </w:p>
          <w:p w14:paraId="1B787393" w14:textId="614601A7" w:rsidR="00977465" w:rsidRDefault="00977465" w:rsidP="00CD4C7B">
            <w:r w:rsidRPr="000747F3">
              <w:rPr>
                <w:highlight w:val="yellow"/>
              </w:rPr>
              <w:lastRenderedPageBreak/>
              <w:t>TSG-RAN will discuss these items by email until TSG-RAN #77 and aim to de</w:t>
            </w:r>
            <w:r w:rsidR="000747F3" w:rsidRPr="000747F3">
              <w:rPr>
                <w:highlight w:val="yellow"/>
              </w:rPr>
              <w:t>cide the target value(s) at the</w:t>
            </w:r>
            <w:r w:rsidRPr="000747F3">
              <w:rPr>
                <w:highlight w:val="yellow"/>
              </w:rPr>
              <w:t>#77 meeting.</w:t>
            </w:r>
          </w:p>
        </w:tc>
      </w:tr>
    </w:tbl>
    <w:p w14:paraId="0A565EE6" w14:textId="77777777" w:rsidR="00977465" w:rsidRDefault="00977465" w:rsidP="00CD4C7B"/>
    <w:p w14:paraId="1CF7CFC3" w14:textId="32829ADA" w:rsidR="00674FAD" w:rsidRDefault="000747F3" w:rsidP="00CD4C7B">
      <w:r w:rsidRPr="000747F3">
        <w:rPr>
          <w:b/>
        </w:rPr>
        <w:t>Observation 2:</w:t>
      </w:r>
      <w:r>
        <w:t xml:space="preserve"> The target peak data rates for LTE-NR </w:t>
      </w:r>
      <w:r w:rsidR="007560F4">
        <w:t xml:space="preserve">and NR </w:t>
      </w:r>
      <w:r>
        <w:t>will be decided by December 2017</w:t>
      </w:r>
      <w:r w:rsidR="007560F4">
        <w:t xml:space="preserve"> and June 2018, respectively</w:t>
      </w:r>
      <w:r>
        <w:t>.</w:t>
      </w:r>
    </w:p>
    <w:p w14:paraId="6FE3A7B0" w14:textId="3531E0F6" w:rsidR="000747F3" w:rsidRDefault="000747F3" w:rsidP="00CD4C7B">
      <w:r>
        <w:t xml:space="preserve">Therefore, the target data rates for LTE-NR will be known only before Stage-2 freeze, so RAN2 can only discuss about the principles of the UE categories. However, </w:t>
      </w:r>
      <w:r w:rsidR="007560F4">
        <w:t>it is also clear that UE categories will have to be defined for the NR standalone operation, so it seems logical to be consistent with those also in LTE-NR.</w:t>
      </w:r>
      <w:r w:rsidR="007560F4" w:rsidRPr="007560F4">
        <w:t xml:space="preserve"> </w:t>
      </w:r>
      <w:r w:rsidR="007560F4">
        <w:t xml:space="preserve"> This allows gNBs capable of handling both SA and NSA UEs to easily operate with both at the same time.</w:t>
      </w:r>
    </w:p>
    <w:p w14:paraId="732454BD" w14:textId="193B65F0" w:rsidR="007560F4" w:rsidRDefault="007560F4" w:rsidP="00CD4C7B">
      <w:r w:rsidRPr="007560F4">
        <w:rPr>
          <w:b/>
        </w:rPr>
        <w:t xml:space="preserve">Observation </w:t>
      </w:r>
      <w:r>
        <w:rPr>
          <w:b/>
        </w:rPr>
        <w:t>3</w:t>
      </w:r>
      <w:r w:rsidRPr="007560F4">
        <w:rPr>
          <w:b/>
        </w:rPr>
        <w:t>:</w:t>
      </w:r>
      <w:r>
        <w:t xml:space="preserve"> UE categories will </w:t>
      </w:r>
      <w:r w:rsidR="004143D6">
        <w:t xml:space="preserve">have </w:t>
      </w:r>
      <w:r>
        <w:t>to be defined for NR standalone operation latest by the end of Rel-15.</w:t>
      </w:r>
    </w:p>
    <w:p w14:paraId="35699D65" w14:textId="45CA403C" w:rsidR="004143D6" w:rsidRPr="006E13D1" w:rsidRDefault="004143D6" w:rsidP="004143D6">
      <w:r>
        <w:rPr>
          <w:b/>
        </w:rPr>
        <w:t xml:space="preserve">Proposal </w:t>
      </w:r>
      <w:r w:rsidR="00372204">
        <w:rPr>
          <w:b/>
        </w:rPr>
        <w:t>1</w:t>
      </w:r>
      <w:r w:rsidRPr="00D06AEB">
        <w:rPr>
          <w:b/>
        </w:rPr>
        <w:t>:</w:t>
      </w:r>
      <w:r>
        <w:t xml:space="preserve"> Retain the concept of an UE category in defining </w:t>
      </w:r>
      <w:r w:rsidRPr="00674FAD">
        <w:t>target peak data rate</w:t>
      </w:r>
      <w:r>
        <w:t xml:space="preserve"> for </w:t>
      </w:r>
      <w:r w:rsidR="00623315">
        <w:t xml:space="preserve">EN-DC (and </w:t>
      </w:r>
      <w:r>
        <w:t>MR-DC</w:t>
      </w:r>
      <w:r w:rsidR="00623315">
        <w:t xml:space="preserve"> in general)</w:t>
      </w:r>
      <w:r>
        <w:t xml:space="preserve"> and NR SA UEs.</w:t>
      </w:r>
    </w:p>
    <w:p w14:paraId="3884F67D" w14:textId="36B12A42" w:rsidR="00CD4C7B" w:rsidRPr="006E13D1" w:rsidRDefault="000747F3" w:rsidP="001B49C9">
      <w:r w:rsidRPr="00D06AEB">
        <w:rPr>
          <w:b/>
        </w:rPr>
        <w:t>Proposal 1:</w:t>
      </w:r>
      <w:r>
        <w:t xml:space="preserve"> UE categories </w:t>
      </w:r>
      <w:r w:rsidR="00D06AEB">
        <w:t>used for LTE-NR shall be consistent with UE categories for NR standalone.</w:t>
      </w:r>
    </w:p>
    <w:p w14:paraId="3771C9CA" w14:textId="7B0F08F2" w:rsidR="00CD4C7B" w:rsidRPr="006E13D1" w:rsidRDefault="00FE630F" w:rsidP="00CD4C7B">
      <w:pPr>
        <w:pStyle w:val="Heading2"/>
      </w:pPr>
      <w:r>
        <w:t>2</w:t>
      </w:r>
      <w:r w:rsidR="00CD4C7B" w:rsidRPr="006E13D1">
        <w:t>.</w:t>
      </w:r>
      <w:r w:rsidR="00977465">
        <w:t>3</w:t>
      </w:r>
      <w:r w:rsidR="00CD4C7B" w:rsidRPr="006E13D1">
        <w:tab/>
      </w:r>
      <w:r w:rsidR="00977465">
        <w:t xml:space="preserve">UE categories for </w:t>
      </w:r>
      <w:r w:rsidR="00E1203B">
        <w:t>MR-DC</w:t>
      </w:r>
      <w:r w:rsidR="00977465">
        <w:t xml:space="preserve"> operation</w:t>
      </w:r>
      <w:r w:rsidR="00CD4C7B" w:rsidRPr="006E13D1">
        <w:t xml:space="preserve"> </w:t>
      </w:r>
    </w:p>
    <w:p w14:paraId="037695F8" w14:textId="0AD7333D" w:rsidR="00D06AEB" w:rsidRDefault="00D06AEB" w:rsidP="00CD4C7B">
      <w:pPr>
        <w:rPr>
          <w:rFonts w:cs="Arial"/>
          <w:lang w:eastAsia="ja-JP"/>
        </w:rPr>
      </w:pPr>
      <w:r>
        <w:t xml:space="preserve">For LTE-NR UE categories, the contribution </w:t>
      </w:r>
      <w:r w:rsidRPr="00863065">
        <w:rPr>
          <w:rFonts w:cs="Arial"/>
        </w:rPr>
        <w:t>R</w:t>
      </w:r>
      <w:r>
        <w:rPr>
          <w:rFonts w:cs="Arial" w:hint="eastAsia"/>
          <w:lang w:eastAsia="ja-JP"/>
        </w:rPr>
        <w:t>2</w:t>
      </w:r>
      <w:r w:rsidRPr="00863065">
        <w:rPr>
          <w:rFonts w:cs="Arial"/>
          <w:lang w:eastAsia="ja-JP"/>
        </w:rPr>
        <w:t>-</w:t>
      </w:r>
      <w:r>
        <w:rPr>
          <w:rFonts w:cs="Arial" w:hint="eastAsia"/>
          <w:lang w:eastAsia="ja-JP"/>
        </w:rPr>
        <w:t>1</w:t>
      </w:r>
      <w:r>
        <w:rPr>
          <w:rFonts w:cs="Arial"/>
          <w:lang w:eastAsia="ja-JP"/>
        </w:rPr>
        <w:t>7</w:t>
      </w:r>
      <w:r>
        <w:rPr>
          <w:rFonts w:cs="Arial" w:hint="eastAsia"/>
          <w:lang w:eastAsia="ja-JP"/>
        </w:rPr>
        <w:t>04189</w:t>
      </w:r>
      <w:r>
        <w:rPr>
          <w:rFonts w:cs="Arial"/>
          <w:lang w:eastAsia="ja-JP"/>
        </w:rPr>
        <w:t xml:space="preserve"> has </w:t>
      </w:r>
      <w:r w:rsidR="0005491A">
        <w:rPr>
          <w:rFonts w:cs="Arial"/>
          <w:lang w:eastAsia="ja-JP"/>
        </w:rPr>
        <w:t xml:space="preserve">been </w:t>
      </w:r>
      <w:r>
        <w:rPr>
          <w:rFonts w:cs="Arial"/>
          <w:lang w:eastAsia="ja-JP"/>
        </w:rPr>
        <w:t xml:space="preserve">proposing to define a </w:t>
      </w:r>
      <w:r>
        <w:rPr>
          <w:rFonts w:cs="Arial"/>
          <w:i/>
          <w:lang w:eastAsia="ja-JP"/>
        </w:rPr>
        <w:t xml:space="preserve">dedicated UE categories </w:t>
      </w:r>
      <w:r>
        <w:rPr>
          <w:rFonts w:cs="Arial"/>
          <w:lang w:eastAsia="ja-JP"/>
        </w:rPr>
        <w:t>only for LTE-NR operation. This is also where RAN2 was requesting feedback from RAN, with the answer being as shown below:</w:t>
      </w:r>
    </w:p>
    <w:tbl>
      <w:tblPr>
        <w:tblStyle w:val="TableGrid"/>
        <w:tblW w:w="0" w:type="auto"/>
        <w:jc w:val="center"/>
        <w:tblLook w:val="04A0" w:firstRow="1" w:lastRow="0" w:firstColumn="1" w:lastColumn="0" w:noHBand="0" w:noVBand="1"/>
      </w:tblPr>
      <w:tblGrid>
        <w:gridCol w:w="8217"/>
      </w:tblGrid>
      <w:tr w:rsidR="00D06AEB" w14:paraId="6D91E60E" w14:textId="77777777" w:rsidTr="00D06AEB">
        <w:trPr>
          <w:jc w:val="center"/>
        </w:trPr>
        <w:tc>
          <w:tcPr>
            <w:tcW w:w="8217" w:type="dxa"/>
          </w:tcPr>
          <w:p w14:paraId="25D0F596" w14:textId="77777777" w:rsidR="00D06AEB" w:rsidRPr="00674FAD" w:rsidRDefault="00D06AEB" w:rsidP="00D06AEB">
            <w:pPr>
              <w:rPr>
                <w:i/>
              </w:rPr>
            </w:pPr>
            <w:r w:rsidRPr="00674FAD">
              <w:rPr>
                <w:i/>
              </w:rPr>
              <w:t>1) The necessity of UE categories for UE in the LTE-NR DC (Opt. 3/4/7) as well as the NR standalone (Opt. 2)</w:t>
            </w:r>
          </w:p>
          <w:p w14:paraId="5C6A4718" w14:textId="77777777" w:rsidR="00D06AEB" w:rsidRPr="00674FAD" w:rsidRDefault="00D06AEB" w:rsidP="00D06AEB">
            <w:r w:rsidRPr="00D06AEB">
              <w:rPr>
                <w:highlight w:val="lightGray"/>
              </w:rPr>
              <w:t>TSG-RAN foresees industrial demand that LTE-NR DC (Option 3/4/7 series) enables operators to provide a certain peak data rate, as well as the NR standalone (Option 2).</w:t>
            </w:r>
            <w:r w:rsidRPr="00674FAD">
              <w:t xml:space="preserve"> </w:t>
            </w:r>
            <w:r w:rsidRPr="00D06AEB">
              <w:rPr>
                <w:highlight w:val="yellow"/>
              </w:rPr>
              <w:t>TSG-RAN would like to let RAN WGs to decide how the target peak data rate can be supported for LTE-NR DC and NR standalone in the specifications, e.g. whether the existing concept of UE category is inherited or a new concept in defining the target peak data rate is introduced</w:t>
            </w:r>
            <w:r w:rsidRPr="00674FAD">
              <w:t xml:space="preserve">. </w:t>
            </w:r>
            <w:r w:rsidRPr="00D06AEB">
              <w:rPr>
                <w:highlight w:val="cyan"/>
              </w:rPr>
              <w:t>RAN sees that it is important that practical UE constraints are also taken into account in the UE capabilities and categories e.g. UE constraints due to hardware sharing during LTE – NR DC operations</w:t>
            </w:r>
            <w:r w:rsidRPr="00674FAD">
              <w:t xml:space="preserve">. </w:t>
            </w:r>
            <w:r w:rsidRPr="007560F4">
              <w:rPr>
                <w:highlight w:val="yellow"/>
              </w:rPr>
              <w:t>It is also up to RAN WGs how the UE categories and capabilities are defined for LTE-NR DC as well as NR standalone.</w:t>
            </w:r>
          </w:p>
          <w:p w14:paraId="5E9DFA22" w14:textId="77777777" w:rsidR="00D06AEB" w:rsidRDefault="00D06AEB" w:rsidP="00CD4C7B">
            <w:pPr>
              <w:rPr>
                <w:rFonts w:cs="Arial"/>
                <w:lang w:eastAsia="ja-JP"/>
              </w:rPr>
            </w:pPr>
          </w:p>
        </w:tc>
      </w:tr>
    </w:tbl>
    <w:p w14:paraId="4C5EFB9A" w14:textId="77777777" w:rsidR="00D06AEB" w:rsidRDefault="00D06AEB" w:rsidP="00CD4C7B">
      <w:pPr>
        <w:rPr>
          <w:rFonts w:cs="Arial"/>
          <w:lang w:eastAsia="ja-JP"/>
        </w:rPr>
      </w:pPr>
    </w:p>
    <w:p w14:paraId="3A27FF59" w14:textId="77777777" w:rsidR="007560F4" w:rsidRDefault="00D06AEB" w:rsidP="00CD4C7B">
      <w:pPr>
        <w:rPr>
          <w:rFonts w:cs="Arial"/>
          <w:lang w:eastAsia="ja-JP"/>
        </w:rPr>
      </w:pPr>
      <w:r>
        <w:rPr>
          <w:rFonts w:cs="Arial"/>
          <w:lang w:eastAsia="ja-JP"/>
        </w:rPr>
        <w:t xml:space="preserve">As the gray highlighted part shows, something defining the peak data rate of UEs has to be defined for all MR-DC cases. However, as the yellow highlighted parts show, whether the existing UE category definitions of something new is defined for determining the peak data rate was left up to RAN WGs (e.g. RAN2) to decide. However, it should be possible to ensure that the practical UE constraints are clearly indicated in the UE category definitions, as the turquoise highlighting shows. </w:t>
      </w:r>
    </w:p>
    <w:p w14:paraId="4D72CE6B" w14:textId="7CD5606E" w:rsidR="007560F4" w:rsidRDefault="007560F4" w:rsidP="00CD4C7B">
      <w:pPr>
        <w:rPr>
          <w:rFonts w:cs="Arial"/>
          <w:lang w:eastAsia="ja-JP"/>
        </w:rPr>
      </w:pPr>
      <w:r>
        <w:rPr>
          <w:rFonts w:cs="Arial"/>
          <w:b/>
          <w:lang w:eastAsia="ja-JP"/>
        </w:rPr>
        <w:t>Observation 4</w:t>
      </w:r>
      <w:r w:rsidRPr="007560F4">
        <w:rPr>
          <w:rFonts w:cs="Arial"/>
          <w:b/>
          <w:lang w:eastAsia="ja-JP"/>
        </w:rPr>
        <w:t>:</w:t>
      </w:r>
      <w:r>
        <w:rPr>
          <w:rFonts w:cs="Arial"/>
          <w:lang w:eastAsia="ja-JP"/>
        </w:rPr>
        <w:t xml:space="preserve"> It is up to RAN2 to determine how the UE categories for </w:t>
      </w:r>
      <w:r w:rsidR="00E1203B">
        <w:rPr>
          <w:rFonts w:cs="Arial"/>
          <w:lang w:eastAsia="ja-JP"/>
        </w:rPr>
        <w:t>MR-DC</w:t>
      </w:r>
      <w:r w:rsidR="008320AB">
        <w:rPr>
          <w:rFonts w:cs="Arial"/>
          <w:lang w:eastAsia="ja-JP"/>
        </w:rPr>
        <w:t xml:space="preserve"> </w:t>
      </w:r>
      <w:r>
        <w:rPr>
          <w:rFonts w:cs="Arial"/>
          <w:lang w:eastAsia="ja-JP"/>
        </w:rPr>
        <w:t>and NR are defined in RAN2 specifications.</w:t>
      </w:r>
    </w:p>
    <w:p w14:paraId="415FEEB3" w14:textId="20E161C9" w:rsidR="00977465" w:rsidRDefault="007560F4" w:rsidP="00977465">
      <w:r>
        <w:rPr>
          <w:rFonts w:cs="Arial"/>
          <w:b/>
          <w:lang w:eastAsia="ja-JP"/>
        </w:rPr>
        <w:t>Observation 5</w:t>
      </w:r>
      <w:r w:rsidRPr="007560F4">
        <w:rPr>
          <w:rFonts w:cs="Arial"/>
          <w:b/>
          <w:lang w:eastAsia="ja-JP"/>
        </w:rPr>
        <w:t>:</w:t>
      </w:r>
      <w:r>
        <w:rPr>
          <w:rFonts w:cs="Arial"/>
          <w:lang w:eastAsia="ja-JP"/>
        </w:rPr>
        <w:t xml:space="preserve"> UE capabilities should indicate the UE constraints during LTE-NR and NR operation – this can be </w:t>
      </w:r>
      <w:r w:rsidR="00F14F57">
        <w:rPr>
          <w:rFonts w:cs="Arial"/>
          <w:lang w:eastAsia="ja-JP"/>
        </w:rPr>
        <w:t xml:space="preserve">indicated </w:t>
      </w:r>
      <w:r>
        <w:rPr>
          <w:rFonts w:cs="Arial"/>
          <w:lang w:eastAsia="ja-JP"/>
        </w:rPr>
        <w:t>with either regular</w:t>
      </w:r>
      <w:r w:rsidR="00F14F57">
        <w:rPr>
          <w:rFonts w:cs="Arial"/>
          <w:lang w:eastAsia="ja-JP"/>
        </w:rPr>
        <w:t xml:space="preserve"> (standalone?)</w:t>
      </w:r>
      <w:r>
        <w:rPr>
          <w:rFonts w:cs="Arial"/>
          <w:lang w:eastAsia="ja-JP"/>
        </w:rPr>
        <w:t xml:space="preserve"> UE capabilities, or they can be “hardcoded” into the UE categories themselves.</w:t>
      </w:r>
    </w:p>
    <w:p w14:paraId="18136B25" w14:textId="77777777" w:rsidR="002E342D" w:rsidRDefault="002E342D" w:rsidP="00977465">
      <w:pPr>
        <w:rPr>
          <w:b/>
        </w:rPr>
      </w:pPr>
      <w:r>
        <w:t xml:space="preserve">Reusing the UE category concept itself seems reasonable for NR, even if some details might differ from LTE. Still, the key point would be that </w:t>
      </w:r>
      <w:r>
        <w:rPr>
          <w:b/>
        </w:rPr>
        <w:t xml:space="preserve">a UE category is indicated via a(n abstract) category number that refers to NR specifications. </w:t>
      </w:r>
    </w:p>
    <w:p w14:paraId="38599102" w14:textId="5EE88449" w:rsidR="002E342D" w:rsidRPr="002E342D" w:rsidRDefault="002E342D" w:rsidP="00977465">
      <w:r>
        <w:rPr>
          <w:b/>
        </w:rPr>
        <w:t xml:space="preserve">Proposal 2: </w:t>
      </w:r>
      <w:r>
        <w:t xml:space="preserve">Define UL/DL categories for NR standalone operation. The categories are identified via a number that refers to </w:t>
      </w:r>
      <w:r w:rsidR="00B04542">
        <w:t xml:space="preserve">their </w:t>
      </w:r>
      <w:r>
        <w:t xml:space="preserve">definitions in </w:t>
      </w:r>
      <w:hyperlink r:id="rId15" w:history="1">
        <w:r w:rsidRPr="002E342D">
          <w:rPr>
            <w:rStyle w:val="Hyperlink"/>
          </w:rPr>
          <w:t>TS</w:t>
        </w:r>
        <w:r w:rsidR="00F14F57">
          <w:rPr>
            <w:rStyle w:val="Hyperlink"/>
          </w:rPr>
          <w:t xml:space="preserve"> </w:t>
        </w:r>
        <w:r w:rsidRPr="002E342D">
          <w:rPr>
            <w:rStyle w:val="Hyperlink"/>
          </w:rPr>
          <w:t>38.306</w:t>
        </w:r>
      </w:hyperlink>
      <w:r>
        <w:t>.</w:t>
      </w:r>
    </w:p>
    <w:p w14:paraId="4C11BEFB" w14:textId="7D2DE028" w:rsidR="008320AB" w:rsidRDefault="002E342D" w:rsidP="00977465">
      <w:r>
        <w:t xml:space="preserve">Therefore, since LTE UL/DL categories definitely already exist, and assuming we will define some UL/DL UE categories also for NR, we can reuse them for LTE-NR as well. The simplest option seems to be that UE simply supports LTE-NR operation according to </w:t>
      </w:r>
      <w:r w:rsidR="00B04542">
        <w:t>the standalone LTE and NR categories</w:t>
      </w:r>
      <w:r w:rsidR="0087272F">
        <w:t>,</w:t>
      </w:r>
      <w:r w:rsidR="008320AB">
        <w:t>– this is illustrated in Figure 1 below.</w:t>
      </w:r>
    </w:p>
    <w:p w14:paraId="4A5BE5D8" w14:textId="166A35B6" w:rsidR="008320AB" w:rsidRDefault="008320AB" w:rsidP="00977465"/>
    <w:p w14:paraId="1D636325" w14:textId="2A69FD32" w:rsidR="00B71108" w:rsidRDefault="00B71108" w:rsidP="00977465">
      <w:r>
        <w:rPr>
          <w:noProof/>
          <w:lang w:val="fi-FI" w:eastAsia="ja-JP"/>
        </w:rPr>
        <w:drawing>
          <wp:inline distT="0" distB="0" distL="0" distR="0" wp14:anchorId="6CCEE825" wp14:editId="1E96B353">
            <wp:extent cx="5929630" cy="2112506"/>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7355" cy="2122383"/>
                    </a:xfrm>
                    <a:prstGeom prst="rect">
                      <a:avLst/>
                    </a:prstGeom>
                    <a:noFill/>
                  </pic:spPr>
                </pic:pic>
              </a:graphicData>
            </a:graphic>
          </wp:inline>
        </w:drawing>
      </w:r>
    </w:p>
    <w:p w14:paraId="268C5458" w14:textId="320C4AA2" w:rsidR="008320AB" w:rsidRPr="00B04542" w:rsidRDefault="008320AB" w:rsidP="0072763C">
      <w:pPr>
        <w:pStyle w:val="Caption"/>
        <w:jc w:val="center"/>
        <w:rPr>
          <w:b/>
          <w:i w:val="0"/>
          <w:sz w:val="20"/>
        </w:rPr>
      </w:pPr>
      <w:r w:rsidRPr="00B04542">
        <w:rPr>
          <w:b/>
          <w:i w:val="0"/>
          <w:sz w:val="20"/>
        </w:rPr>
        <w:t xml:space="preserve">Figure </w:t>
      </w:r>
      <w:r w:rsidRPr="00B04542">
        <w:rPr>
          <w:b/>
          <w:i w:val="0"/>
          <w:sz w:val="20"/>
        </w:rPr>
        <w:fldChar w:fldCharType="begin"/>
      </w:r>
      <w:r w:rsidRPr="00B04542">
        <w:rPr>
          <w:b/>
          <w:i w:val="0"/>
          <w:sz w:val="20"/>
        </w:rPr>
        <w:instrText xml:space="preserve"> SEQ Figure \* ARABIC </w:instrText>
      </w:r>
      <w:r w:rsidRPr="00B04542">
        <w:rPr>
          <w:b/>
          <w:i w:val="0"/>
          <w:sz w:val="20"/>
        </w:rPr>
        <w:fldChar w:fldCharType="separate"/>
      </w:r>
      <w:r w:rsidR="0087272F">
        <w:rPr>
          <w:b/>
          <w:i w:val="0"/>
          <w:noProof/>
          <w:sz w:val="20"/>
        </w:rPr>
        <w:t>1</w:t>
      </w:r>
      <w:r w:rsidRPr="00B04542">
        <w:rPr>
          <w:b/>
          <w:i w:val="0"/>
          <w:sz w:val="20"/>
        </w:rPr>
        <w:fldChar w:fldCharType="end"/>
      </w:r>
      <w:r w:rsidRPr="00B04542">
        <w:rPr>
          <w:b/>
          <w:i w:val="0"/>
          <w:sz w:val="20"/>
        </w:rPr>
        <w:t xml:space="preserve">. </w:t>
      </w:r>
      <w:r w:rsidRPr="00B04542">
        <w:rPr>
          <w:i w:val="0"/>
          <w:sz w:val="20"/>
        </w:rPr>
        <w:t xml:space="preserve">Illustrating of reusing standalone categories </w:t>
      </w:r>
      <w:r>
        <w:rPr>
          <w:i w:val="0"/>
          <w:sz w:val="20"/>
        </w:rPr>
        <w:t>for LTE-NR operation</w:t>
      </w:r>
    </w:p>
    <w:p w14:paraId="056E025F" w14:textId="5B395597" w:rsidR="00B45CBF" w:rsidRDefault="00B45CBF" w:rsidP="0072763C">
      <w:r w:rsidRPr="0072763C">
        <w:rPr>
          <w:b/>
        </w:rPr>
        <w:t>Observation 6:</w:t>
      </w:r>
      <w:r>
        <w:t xml:space="preserve"> Combining the standalone LTE and NR UE categories would be the simplest way to indicate UE peak data rate for MR-DC.</w:t>
      </w:r>
    </w:p>
    <w:p w14:paraId="0066BDF9" w14:textId="249BBB52" w:rsidR="0087272F" w:rsidRPr="0072763C" w:rsidRDefault="0087272F" w:rsidP="0072763C">
      <w:pPr>
        <w:rPr>
          <w:i/>
        </w:rPr>
      </w:pPr>
      <w:r>
        <w:t>Additionally, some restrictions (e.g. on data rates or buffer requirements) might be needed as well for the UE categories, and these could be further defined within the respective capabilities.  This is illustrated in Figure 2 below.</w:t>
      </w:r>
    </w:p>
    <w:p w14:paraId="4A3071CB" w14:textId="7CA29A08" w:rsidR="0087272F" w:rsidRDefault="00B71108" w:rsidP="0087272F">
      <w:pPr>
        <w:pStyle w:val="Caption"/>
        <w:rPr>
          <w:b/>
          <w:i w:val="0"/>
          <w:sz w:val="20"/>
        </w:rPr>
      </w:pPr>
      <w:r>
        <w:rPr>
          <w:b/>
          <w:i w:val="0"/>
          <w:noProof/>
          <w:sz w:val="20"/>
          <w:lang w:val="fi-FI" w:eastAsia="ja-JP"/>
        </w:rPr>
        <w:drawing>
          <wp:inline distT="0" distB="0" distL="0" distR="0" wp14:anchorId="793E3400" wp14:editId="4C359AD1">
            <wp:extent cx="6188075" cy="2681790"/>
            <wp:effectExtent l="0" t="0" r="3175"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6325" cy="2685365"/>
                    </a:xfrm>
                    <a:prstGeom prst="rect">
                      <a:avLst/>
                    </a:prstGeom>
                    <a:noFill/>
                  </pic:spPr>
                </pic:pic>
              </a:graphicData>
            </a:graphic>
          </wp:inline>
        </w:drawing>
      </w:r>
    </w:p>
    <w:p w14:paraId="7230A182" w14:textId="064CC50F" w:rsidR="0087272F" w:rsidRPr="00B04542" w:rsidRDefault="0087272F" w:rsidP="0072763C">
      <w:pPr>
        <w:pStyle w:val="Caption"/>
        <w:jc w:val="center"/>
        <w:rPr>
          <w:b/>
          <w:i w:val="0"/>
          <w:sz w:val="20"/>
        </w:rPr>
      </w:pPr>
      <w:r w:rsidRPr="00B04542">
        <w:rPr>
          <w:b/>
          <w:i w:val="0"/>
          <w:sz w:val="20"/>
        </w:rPr>
        <w:t xml:space="preserve">Figure </w:t>
      </w:r>
      <w:r w:rsidRPr="00B04542">
        <w:rPr>
          <w:b/>
          <w:i w:val="0"/>
          <w:sz w:val="20"/>
        </w:rPr>
        <w:fldChar w:fldCharType="begin"/>
      </w:r>
      <w:r w:rsidRPr="00B04542">
        <w:rPr>
          <w:b/>
          <w:i w:val="0"/>
          <w:sz w:val="20"/>
        </w:rPr>
        <w:instrText xml:space="preserve"> SEQ Figure \* ARABIC </w:instrText>
      </w:r>
      <w:r w:rsidRPr="00B04542">
        <w:rPr>
          <w:b/>
          <w:i w:val="0"/>
          <w:sz w:val="20"/>
        </w:rPr>
        <w:fldChar w:fldCharType="separate"/>
      </w:r>
      <w:r>
        <w:rPr>
          <w:b/>
          <w:i w:val="0"/>
          <w:noProof/>
          <w:sz w:val="20"/>
        </w:rPr>
        <w:t>2</w:t>
      </w:r>
      <w:r w:rsidRPr="00B04542">
        <w:rPr>
          <w:b/>
          <w:i w:val="0"/>
          <w:sz w:val="20"/>
        </w:rPr>
        <w:fldChar w:fldCharType="end"/>
      </w:r>
      <w:r w:rsidRPr="00B04542">
        <w:rPr>
          <w:b/>
          <w:i w:val="0"/>
          <w:sz w:val="20"/>
        </w:rPr>
        <w:t xml:space="preserve">. </w:t>
      </w:r>
      <w:r w:rsidRPr="00B04542">
        <w:rPr>
          <w:i w:val="0"/>
          <w:sz w:val="20"/>
        </w:rPr>
        <w:t xml:space="preserve">Illustrating of reusing standalone categories </w:t>
      </w:r>
      <w:r>
        <w:rPr>
          <w:i w:val="0"/>
          <w:sz w:val="20"/>
        </w:rPr>
        <w:t>for LTE-NR operation with some capability restrictions</w:t>
      </w:r>
    </w:p>
    <w:p w14:paraId="47506DAF" w14:textId="5E46EEFA" w:rsidR="00B45CBF" w:rsidRDefault="0087272F" w:rsidP="00977465">
      <w:r>
        <w:t xml:space="preserve">This approach would allow reusing existing UE categories, but also indicating separate restrictions for use with MR-DC operation. </w:t>
      </w:r>
      <w:r w:rsidR="00B45CBF">
        <w:t>The capability restrictions are also only required to be understood by the respective RATs, i.e. LTE is not required to understand the NR restrictions and vice versa.</w:t>
      </w:r>
    </w:p>
    <w:p w14:paraId="624AD2DF" w14:textId="25C468E8" w:rsidR="00B45CBF" w:rsidRDefault="00B45CBF" w:rsidP="00977465">
      <w:r w:rsidRPr="0072763C">
        <w:rPr>
          <w:b/>
        </w:rPr>
        <w:t>Observation 7:</w:t>
      </w:r>
      <w:r>
        <w:t xml:space="preserve"> Any UE capability restrictions for MR-DC operation can be indicated within LTE capabilities for LTE and within NR capabilities for NR.</w:t>
      </w:r>
    </w:p>
    <w:p w14:paraId="7623F729" w14:textId="77777777" w:rsidR="00B45CBF" w:rsidRDefault="00B45CBF" w:rsidP="00977465"/>
    <w:p w14:paraId="54E8E6F5" w14:textId="61A5D2EB" w:rsidR="007560F4" w:rsidRDefault="008320AB" w:rsidP="00977465">
      <w:r>
        <w:t xml:space="preserve">However, </w:t>
      </w:r>
      <w:r w:rsidR="0087272F">
        <w:t xml:space="preserve">as an alternative way to accomplish the same, the same could be done by </w:t>
      </w:r>
      <w:r w:rsidR="00B04542">
        <w:t>allow</w:t>
      </w:r>
      <w:r w:rsidR="0087272F">
        <w:t>ing</w:t>
      </w:r>
      <w:r w:rsidR="00B04542">
        <w:t xml:space="preserve"> </w:t>
      </w:r>
      <w:r w:rsidR="00AA741D">
        <w:t xml:space="preserve">the </w:t>
      </w:r>
      <w:r w:rsidR="00B04542">
        <w:t xml:space="preserve">UE </w:t>
      </w:r>
      <w:r w:rsidR="00AA741D">
        <w:t xml:space="preserve">to </w:t>
      </w:r>
      <w:r w:rsidR="0087272F">
        <w:t xml:space="preserve">define the restrictions as </w:t>
      </w:r>
      <w:r w:rsidR="00AA741D">
        <w:t xml:space="preserve">separate </w:t>
      </w:r>
      <w:r w:rsidR="0087272F">
        <w:t xml:space="preserve">UE categories </w:t>
      </w:r>
      <w:r w:rsidR="00AA741D">
        <w:t xml:space="preserve">for LTE and NR </w:t>
      </w:r>
      <w:r w:rsidR="0087272F">
        <w:t>RATs during MR-DC.</w:t>
      </w:r>
      <w:r w:rsidR="0087272F" w:rsidDel="0087272F">
        <w:t xml:space="preserve"> </w:t>
      </w:r>
      <w:r w:rsidR="00534DDB">
        <w:t>T</w:t>
      </w:r>
      <w:r w:rsidR="00B04542">
        <w:t xml:space="preserve">hese </w:t>
      </w:r>
      <w:r w:rsidR="000941D4">
        <w:t xml:space="preserve">categories </w:t>
      </w:r>
      <w:r w:rsidR="00B04542">
        <w:t xml:space="preserve">would then be given in the respective UE capability containers, so that each RAT is only required to comprehend its own capabilities (as has been the RAN2 agreement so far). This is illustrated in figure </w:t>
      </w:r>
      <w:r w:rsidR="0087272F">
        <w:t>2</w:t>
      </w:r>
      <w:r w:rsidR="00B04542">
        <w:t xml:space="preserve"> below</w:t>
      </w:r>
      <w:r>
        <w:t xml:space="preserve">, where </w:t>
      </w:r>
      <w:r w:rsidR="0087272F">
        <w:t>UE uses the separated UE categories for LTE-NR to indicate the needed restrictions during MR-DC operation</w:t>
      </w:r>
      <w:r w:rsidR="00B04542">
        <w:t>.</w:t>
      </w:r>
    </w:p>
    <w:p w14:paraId="60242353" w14:textId="31995AC3" w:rsidR="00B04542" w:rsidRDefault="00B04542" w:rsidP="00977465"/>
    <w:p w14:paraId="6832FC4C" w14:textId="4693803A" w:rsidR="00B71108" w:rsidRDefault="00B71108" w:rsidP="0072763C">
      <w:pPr>
        <w:pStyle w:val="Caption"/>
        <w:jc w:val="center"/>
        <w:rPr>
          <w:b/>
          <w:i w:val="0"/>
          <w:sz w:val="20"/>
        </w:rPr>
      </w:pPr>
    </w:p>
    <w:p w14:paraId="049AA214" w14:textId="17F2F93F" w:rsidR="00980301" w:rsidRPr="0072763C" w:rsidRDefault="00BD02D4" w:rsidP="0072763C">
      <w:pPr>
        <w:rPr>
          <w:i/>
        </w:rPr>
      </w:pPr>
      <w:r>
        <w:rPr>
          <w:i/>
          <w:noProof/>
          <w:lang w:val="fi-FI" w:eastAsia="ja-JP"/>
        </w:rPr>
        <w:drawing>
          <wp:inline distT="0" distB="0" distL="0" distR="0" wp14:anchorId="0E4149F9" wp14:editId="1D43B71B">
            <wp:extent cx="5788885" cy="25431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02005" cy="2548939"/>
                    </a:xfrm>
                    <a:prstGeom prst="rect">
                      <a:avLst/>
                    </a:prstGeom>
                    <a:noFill/>
                  </pic:spPr>
                </pic:pic>
              </a:graphicData>
            </a:graphic>
          </wp:inline>
        </w:drawing>
      </w:r>
    </w:p>
    <w:p w14:paraId="0076948F" w14:textId="1CF9DFF3" w:rsidR="00B04542" w:rsidRPr="0072763C" w:rsidRDefault="00B04542" w:rsidP="0072763C">
      <w:pPr>
        <w:pStyle w:val="Caption"/>
        <w:jc w:val="center"/>
        <w:rPr>
          <w:i w:val="0"/>
          <w:sz w:val="20"/>
        </w:rPr>
      </w:pPr>
      <w:r w:rsidRPr="00B04542">
        <w:rPr>
          <w:b/>
          <w:i w:val="0"/>
          <w:sz w:val="20"/>
        </w:rPr>
        <w:t xml:space="preserve">Figure </w:t>
      </w:r>
      <w:r w:rsidRPr="00B04542">
        <w:rPr>
          <w:b/>
          <w:i w:val="0"/>
          <w:sz w:val="20"/>
        </w:rPr>
        <w:fldChar w:fldCharType="begin"/>
      </w:r>
      <w:r w:rsidRPr="00B04542">
        <w:rPr>
          <w:b/>
          <w:i w:val="0"/>
          <w:sz w:val="20"/>
        </w:rPr>
        <w:instrText xml:space="preserve"> SEQ Figure \* ARABIC </w:instrText>
      </w:r>
      <w:r w:rsidRPr="00B04542">
        <w:rPr>
          <w:b/>
          <w:i w:val="0"/>
          <w:sz w:val="20"/>
        </w:rPr>
        <w:fldChar w:fldCharType="separate"/>
      </w:r>
      <w:r w:rsidR="0087272F">
        <w:rPr>
          <w:b/>
          <w:i w:val="0"/>
          <w:noProof/>
          <w:sz w:val="20"/>
        </w:rPr>
        <w:t>3</w:t>
      </w:r>
      <w:r w:rsidRPr="00B04542">
        <w:rPr>
          <w:b/>
          <w:i w:val="0"/>
          <w:sz w:val="20"/>
        </w:rPr>
        <w:fldChar w:fldCharType="end"/>
      </w:r>
      <w:r w:rsidRPr="00B04542">
        <w:rPr>
          <w:b/>
          <w:i w:val="0"/>
          <w:sz w:val="20"/>
        </w:rPr>
        <w:t xml:space="preserve">. </w:t>
      </w:r>
      <w:r w:rsidR="00B45CBF" w:rsidRPr="0072763C">
        <w:rPr>
          <w:i w:val="0"/>
          <w:sz w:val="20"/>
        </w:rPr>
        <w:t>Indicating capability restrictions via separate MR-DC UE categories</w:t>
      </w:r>
      <w:r w:rsidR="00B45CBF" w:rsidRPr="00B45CBF">
        <w:rPr>
          <w:i w:val="0"/>
          <w:sz w:val="20"/>
        </w:rPr>
        <w:t xml:space="preserve"> </w:t>
      </w:r>
    </w:p>
    <w:p w14:paraId="56521061" w14:textId="2D9F23F7" w:rsidR="00B04542" w:rsidRDefault="00B04542" w:rsidP="00977465">
      <w:r>
        <w:t>The benefit of this approach is that there is no need to define (and maintain) a list of separated UE categories only for LTE-NR</w:t>
      </w:r>
      <w:r w:rsidR="00C03614">
        <w:t xml:space="preserve"> interworking</w:t>
      </w:r>
      <w:r>
        <w:t xml:space="preserve">, which reduces the maintenance burden. It does require that similar consistency that is applied for the LTE UE category definitions is done (but that would anyway be the same for any definition of UE </w:t>
      </w:r>
      <w:r w:rsidR="00F14F57">
        <w:t>categories</w:t>
      </w:r>
      <w:r>
        <w:t>): UE should support at least as large peak rate for SA operation than for NSA operation.</w:t>
      </w:r>
      <w:r w:rsidR="0087272F">
        <w:t xml:space="preserve"> However, it is obviously more complex than the other two options, which may create specification difficulties. A simpler approach might be preferable.</w:t>
      </w:r>
    </w:p>
    <w:p w14:paraId="045052F9" w14:textId="33A5057A" w:rsidR="0087272F" w:rsidRDefault="002E342D" w:rsidP="00977465">
      <w:r w:rsidRPr="002E342D">
        <w:rPr>
          <w:b/>
        </w:rPr>
        <w:t xml:space="preserve">Proposal </w:t>
      </w:r>
      <w:r w:rsidR="00B04542">
        <w:rPr>
          <w:b/>
        </w:rPr>
        <w:t>3</w:t>
      </w:r>
      <w:r w:rsidRPr="002E342D">
        <w:rPr>
          <w:b/>
        </w:rPr>
        <w:t>:</w:t>
      </w:r>
      <w:r>
        <w:t xml:space="preserve"> Do not define separate UL/DL “LTE-NR” UE categories</w:t>
      </w:r>
      <w:r w:rsidR="000427B1">
        <w:t xml:space="preserve"> (i.e. the LTE-NR UE category is </w:t>
      </w:r>
      <w:r w:rsidR="00AD0A97">
        <w:t xml:space="preserve">synthesized by linking a </w:t>
      </w:r>
      <w:r w:rsidR="000427B1">
        <w:t>LTE and NR standalone category)</w:t>
      </w:r>
      <w:r w:rsidR="00B04542">
        <w:t>.</w:t>
      </w:r>
      <w:r w:rsidR="0087272F">
        <w:t xml:space="preserve"> </w:t>
      </w:r>
    </w:p>
    <w:p w14:paraId="25482A9E" w14:textId="7A325C7A" w:rsidR="002E342D" w:rsidRDefault="00B04542" w:rsidP="00977465">
      <w:r w:rsidRPr="00B04542">
        <w:rPr>
          <w:b/>
        </w:rPr>
        <w:t>Proposal 4:</w:t>
      </w:r>
      <w:r>
        <w:t xml:space="preserve"> </w:t>
      </w:r>
      <w:r w:rsidR="0087272F">
        <w:t xml:space="preserve">UE capability restrictions for UL/DL UE categories </w:t>
      </w:r>
      <w:r w:rsidR="00B45CBF">
        <w:t>are</w:t>
      </w:r>
      <w:r w:rsidR="0087272F">
        <w:t xml:space="preserve"> indicated within each RAT</w:t>
      </w:r>
      <w:r w:rsidR="00B45CBF">
        <w:t>’</w:t>
      </w:r>
      <w:r w:rsidR="0087272F">
        <w:t>s capability container.</w:t>
      </w:r>
      <w:r w:rsidR="0087272F" w:rsidDel="0087272F">
        <w:t xml:space="preserve"> </w:t>
      </w:r>
    </w:p>
    <w:p w14:paraId="3230197E" w14:textId="7912A370" w:rsidR="002E342D" w:rsidRPr="00674FAD" w:rsidRDefault="00B04542" w:rsidP="00977465">
      <w:r w:rsidRPr="00B04542">
        <w:rPr>
          <w:b/>
        </w:rPr>
        <w:t>Proposal 5</w:t>
      </w:r>
      <w:r w:rsidR="002E342D" w:rsidRPr="00B04542">
        <w:rPr>
          <w:b/>
        </w:rPr>
        <w:t>:</w:t>
      </w:r>
      <w:r>
        <w:t xml:space="preserve"> </w:t>
      </w:r>
      <w:r w:rsidR="0087272F">
        <w:t xml:space="preserve">Supported </w:t>
      </w:r>
      <w:r>
        <w:t xml:space="preserve">UE </w:t>
      </w:r>
      <w:r w:rsidR="0087272F">
        <w:t>peak data rate for LTE and NR standalone modes should be at least as large as the peak data rates in the respective RATs during MR-DC operation.</w:t>
      </w:r>
      <w:r w:rsidR="0087272F" w:rsidDel="0087272F">
        <w:t xml:space="preserve"> </w:t>
      </w:r>
      <w:r w:rsidR="002E342D">
        <w:t xml:space="preserve"> </w:t>
      </w:r>
    </w:p>
    <w:p w14:paraId="43A12B72" w14:textId="37736B99" w:rsidR="00CD4C7B" w:rsidRPr="006E13D1" w:rsidRDefault="00977465" w:rsidP="00CD4C7B">
      <w:pPr>
        <w:pStyle w:val="Heading1"/>
      </w:pPr>
      <w:r>
        <w:t>3</w:t>
      </w:r>
      <w:r w:rsidR="00CD4C7B" w:rsidRPr="006E13D1">
        <w:tab/>
      </w:r>
      <w:r>
        <w:t>Conclusions</w:t>
      </w:r>
    </w:p>
    <w:p w14:paraId="0314A957" w14:textId="72113CDC" w:rsidR="00B04542" w:rsidRPr="00B04542" w:rsidRDefault="00B04542" w:rsidP="00D06AEB">
      <w:r>
        <w:t>We have discussed the UE categories for LTE-NR and observed the following:</w:t>
      </w:r>
    </w:p>
    <w:p w14:paraId="2B11CDA2" w14:textId="03418193" w:rsidR="00D06AEB" w:rsidRDefault="00D06AEB" w:rsidP="00D06AEB">
      <w:r w:rsidRPr="00977465">
        <w:rPr>
          <w:b/>
        </w:rPr>
        <w:t>Observation 1:</w:t>
      </w:r>
      <w:r>
        <w:t xml:space="preserve"> LTE UE may indicate multiple UE categories, but the indications have to be consistent (i.e. UE cannot indicate lower data rate for later.</w:t>
      </w:r>
    </w:p>
    <w:p w14:paraId="3322CD84" w14:textId="0A63AD23" w:rsidR="007560F4" w:rsidRDefault="007560F4" w:rsidP="007560F4">
      <w:r w:rsidRPr="000747F3">
        <w:rPr>
          <w:b/>
        </w:rPr>
        <w:t>Observation 2:</w:t>
      </w:r>
      <w:r>
        <w:t xml:space="preserve"> The target peak data rates for LTE-NR and NR will be decided by December 2017 and June 2018, respectively.</w:t>
      </w:r>
    </w:p>
    <w:p w14:paraId="69CF751E" w14:textId="77777777" w:rsidR="007560F4" w:rsidRDefault="007560F4" w:rsidP="007560F4">
      <w:r w:rsidRPr="007560F4">
        <w:rPr>
          <w:b/>
        </w:rPr>
        <w:t xml:space="preserve">Observation </w:t>
      </w:r>
      <w:r>
        <w:rPr>
          <w:b/>
        </w:rPr>
        <w:t>3</w:t>
      </w:r>
      <w:r w:rsidRPr="007560F4">
        <w:rPr>
          <w:b/>
        </w:rPr>
        <w:t>:</w:t>
      </w:r>
      <w:r>
        <w:t xml:space="preserve"> UE categories will to be defined for NR standalone operation latest by the end of Rel-15.</w:t>
      </w:r>
    </w:p>
    <w:p w14:paraId="6C7848DC" w14:textId="271D2AAA" w:rsidR="007560F4" w:rsidRDefault="007560F4" w:rsidP="007560F4">
      <w:pPr>
        <w:rPr>
          <w:rFonts w:cs="Arial"/>
          <w:lang w:eastAsia="ja-JP"/>
        </w:rPr>
      </w:pPr>
      <w:r>
        <w:rPr>
          <w:rFonts w:cs="Arial"/>
          <w:b/>
          <w:lang w:eastAsia="ja-JP"/>
        </w:rPr>
        <w:t>Observation 4</w:t>
      </w:r>
      <w:r w:rsidRPr="007560F4">
        <w:rPr>
          <w:rFonts w:cs="Arial"/>
          <w:b/>
          <w:lang w:eastAsia="ja-JP"/>
        </w:rPr>
        <w:t>:</w:t>
      </w:r>
      <w:r>
        <w:rPr>
          <w:rFonts w:cs="Arial"/>
          <w:lang w:eastAsia="ja-JP"/>
        </w:rPr>
        <w:t xml:space="preserve"> It is up to RAN2 to determine how the UE categories for LTE-NR and NR are defined in RAN2 specifications.</w:t>
      </w:r>
    </w:p>
    <w:p w14:paraId="5D9005AC" w14:textId="2ED60BB2" w:rsidR="007560F4" w:rsidRDefault="007560F4" w:rsidP="007560F4">
      <w:r>
        <w:rPr>
          <w:rFonts w:cs="Arial"/>
          <w:b/>
          <w:lang w:eastAsia="ja-JP"/>
        </w:rPr>
        <w:t>Observation 5</w:t>
      </w:r>
      <w:r w:rsidRPr="007560F4">
        <w:rPr>
          <w:rFonts w:cs="Arial"/>
          <w:b/>
          <w:lang w:eastAsia="ja-JP"/>
        </w:rPr>
        <w:t>:</w:t>
      </w:r>
      <w:r>
        <w:rPr>
          <w:rFonts w:cs="Arial"/>
          <w:lang w:eastAsia="ja-JP"/>
        </w:rPr>
        <w:t xml:space="preserve"> UE capabilities should indicate the UE constraints during LTE-NR and NR operation – this can be done with either regular UE capabilities, or they can be “hardcoded” into the UE </w:t>
      </w:r>
      <w:r w:rsidR="00B04542">
        <w:rPr>
          <w:rFonts w:cs="Arial"/>
          <w:lang w:eastAsia="ja-JP"/>
        </w:rPr>
        <w:t>categories themselves</w:t>
      </w:r>
      <w:r>
        <w:rPr>
          <w:rFonts w:cs="Arial"/>
          <w:lang w:eastAsia="ja-JP"/>
        </w:rPr>
        <w:t>.</w:t>
      </w:r>
    </w:p>
    <w:p w14:paraId="1AC60382" w14:textId="77777777" w:rsidR="00B45CBF" w:rsidRDefault="00B45CBF" w:rsidP="00B45CBF">
      <w:r w:rsidRPr="00A059F7">
        <w:rPr>
          <w:b/>
        </w:rPr>
        <w:t>Observation 6:</w:t>
      </w:r>
      <w:r>
        <w:t xml:space="preserve"> Combining the standalone LTE and NR UE categories would be the simplest way to indicate UE peak data rate for MR-DC.</w:t>
      </w:r>
    </w:p>
    <w:p w14:paraId="49C1A81C" w14:textId="77777777" w:rsidR="00B45CBF" w:rsidRDefault="00B45CBF" w:rsidP="00B45CBF">
      <w:r w:rsidRPr="00A059F7">
        <w:rPr>
          <w:b/>
        </w:rPr>
        <w:t>Observation 7:</w:t>
      </w:r>
      <w:r>
        <w:t xml:space="preserve"> Any UE capability restrictions for MR-DC operation can be indicated within LTE capabilities for LTE and within NR capabilities for NR.</w:t>
      </w:r>
    </w:p>
    <w:p w14:paraId="2CF5CAF8" w14:textId="6301520B" w:rsidR="007560F4" w:rsidRDefault="00B04542" w:rsidP="007560F4">
      <w:r>
        <w:t>Based on these, we have proposed the following:</w:t>
      </w:r>
    </w:p>
    <w:p w14:paraId="6318A893" w14:textId="77777777" w:rsidR="00D06AEB" w:rsidRPr="006E13D1" w:rsidRDefault="00D06AEB" w:rsidP="00D06AEB">
      <w:r w:rsidRPr="00D06AEB">
        <w:rPr>
          <w:b/>
        </w:rPr>
        <w:t>Proposal 1:</w:t>
      </w:r>
      <w:r>
        <w:t xml:space="preserve"> UE categories used for LTE-NR shall be consistent with UE categories for NR standalone.</w:t>
      </w:r>
    </w:p>
    <w:p w14:paraId="794DB3D0" w14:textId="77777777" w:rsidR="00B45CBF" w:rsidRPr="002E342D" w:rsidRDefault="00B45CBF" w:rsidP="00B45CBF">
      <w:r>
        <w:rPr>
          <w:b/>
        </w:rPr>
        <w:t xml:space="preserve">Proposal 2: </w:t>
      </w:r>
      <w:r>
        <w:t xml:space="preserve">Define UL/DL categories for NR standalone operation. The categories are identified via a number that refers to their definitions in </w:t>
      </w:r>
      <w:hyperlink r:id="rId19" w:history="1">
        <w:r w:rsidRPr="002E342D">
          <w:rPr>
            <w:rStyle w:val="Hyperlink"/>
          </w:rPr>
          <w:t>TS</w:t>
        </w:r>
        <w:r>
          <w:rPr>
            <w:rStyle w:val="Hyperlink"/>
          </w:rPr>
          <w:t xml:space="preserve"> </w:t>
        </w:r>
        <w:r w:rsidRPr="002E342D">
          <w:rPr>
            <w:rStyle w:val="Hyperlink"/>
          </w:rPr>
          <w:t>38.306</w:t>
        </w:r>
      </w:hyperlink>
      <w:r>
        <w:t>.</w:t>
      </w:r>
    </w:p>
    <w:p w14:paraId="492C54A9" w14:textId="77777777" w:rsidR="0087272F" w:rsidRDefault="0087272F" w:rsidP="0087272F">
      <w:r w:rsidRPr="002E342D">
        <w:rPr>
          <w:b/>
        </w:rPr>
        <w:t xml:space="preserve">Proposal </w:t>
      </w:r>
      <w:r>
        <w:rPr>
          <w:b/>
        </w:rPr>
        <w:t>3</w:t>
      </w:r>
      <w:r w:rsidRPr="002E342D">
        <w:rPr>
          <w:b/>
        </w:rPr>
        <w:t>:</w:t>
      </w:r>
      <w:r>
        <w:t xml:space="preserve"> Do not define separate UL/DL “LTE-NR” UE categories (i.e. the LTE-NR UE category is synthesized by linking a LTE and NR standalone category). </w:t>
      </w:r>
    </w:p>
    <w:p w14:paraId="44B8B607" w14:textId="6631829C" w:rsidR="0087272F" w:rsidRDefault="0087272F" w:rsidP="0087272F">
      <w:r w:rsidRPr="00B04542">
        <w:rPr>
          <w:b/>
        </w:rPr>
        <w:t>Proposal 4:</w:t>
      </w:r>
      <w:r>
        <w:t xml:space="preserve"> UE capability restrictions for UL/DL UE categories </w:t>
      </w:r>
      <w:r w:rsidR="00B45CBF">
        <w:t>are</w:t>
      </w:r>
      <w:r>
        <w:t xml:space="preserve"> indicated within each RAT</w:t>
      </w:r>
      <w:r w:rsidR="00B45CBF">
        <w:t>’</w:t>
      </w:r>
      <w:r>
        <w:t>s capability container.</w:t>
      </w:r>
      <w:r w:rsidDel="0087272F">
        <w:t xml:space="preserve"> </w:t>
      </w:r>
    </w:p>
    <w:p w14:paraId="7D2C1430" w14:textId="77777777" w:rsidR="0087272F" w:rsidRPr="00674FAD" w:rsidRDefault="0087272F" w:rsidP="0087272F">
      <w:r w:rsidRPr="00B04542">
        <w:rPr>
          <w:b/>
        </w:rPr>
        <w:t>Proposal 5:</w:t>
      </w:r>
      <w:r>
        <w:t xml:space="preserve"> Supported UE peak data rate for LTE and NR standalone modes should be at least as large as the peak data rates in the respective RATs during MR-DC operation.</w:t>
      </w:r>
      <w:r w:rsidDel="0087272F">
        <w:t xml:space="preserve"> </w:t>
      </w:r>
      <w:r>
        <w:t xml:space="preserve"> </w:t>
      </w:r>
    </w:p>
    <w:p w14:paraId="560C25C5" w14:textId="35D00DE7" w:rsidR="00D06AEB" w:rsidRDefault="0087272F" w:rsidP="0087272F">
      <w:r w:rsidRPr="002E342D" w:rsidDel="0087272F">
        <w:rPr>
          <w:b/>
        </w:rPr>
        <w:t xml:space="preserve"> </w:t>
      </w:r>
    </w:p>
    <w:sectPr w:rsidR="00D06AE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41567" w14:textId="77777777" w:rsidR="000C32D3" w:rsidRDefault="000C32D3">
      <w:r>
        <w:separator/>
      </w:r>
    </w:p>
  </w:endnote>
  <w:endnote w:type="continuationSeparator" w:id="0">
    <w:p w14:paraId="59E30435" w14:textId="77777777" w:rsidR="000C32D3" w:rsidRDefault="000C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45B03" w14:textId="77777777" w:rsidR="000C32D3" w:rsidRDefault="000C32D3">
      <w:r>
        <w:separator/>
      </w:r>
    </w:p>
  </w:footnote>
  <w:footnote w:type="continuationSeparator" w:id="0">
    <w:p w14:paraId="04B980FB" w14:textId="77777777" w:rsidR="000C32D3" w:rsidRDefault="000C3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27B1"/>
    <w:rsid w:val="0005491A"/>
    <w:rsid w:val="000747F3"/>
    <w:rsid w:val="00080512"/>
    <w:rsid w:val="00090468"/>
    <w:rsid w:val="000941D4"/>
    <w:rsid w:val="000B7BCF"/>
    <w:rsid w:val="000C32D3"/>
    <w:rsid w:val="000C522B"/>
    <w:rsid w:val="000D58AB"/>
    <w:rsid w:val="00112F1A"/>
    <w:rsid w:val="00145075"/>
    <w:rsid w:val="001741A0"/>
    <w:rsid w:val="00194CD0"/>
    <w:rsid w:val="001B49C9"/>
    <w:rsid w:val="001F168B"/>
    <w:rsid w:val="001F7831"/>
    <w:rsid w:val="00204045"/>
    <w:rsid w:val="0022606D"/>
    <w:rsid w:val="002747EC"/>
    <w:rsid w:val="002855BF"/>
    <w:rsid w:val="002E342D"/>
    <w:rsid w:val="002F0D22"/>
    <w:rsid w:val="003172DC"/>
    <w:rsid w:val="00326069"/>
    <w:rsid w:val="0035462D"/>
    <w:rsid w:val="00372204"/>
    <w:rsid w:val="003B40AD"/>
    <w:rsid w:val="003C4E37"/>
    <w:rsid w:val="003E16BE"/>
    <w:rsid w:val="004006E8"/>
    <w:rsid w:val="00401855"/>
    <w:rsid w:val="004143D6"/>
    <w:rsid w:val="00477455"/>
    <w:rsid w:val="00495611"/>
    <w:rsid w:val="004D3578"/>
    <w:rsid w:val="004D380D"/>
    <w:rsid w:val="004E213A"/>
    <w:rsid w:val="00503171"/>
    <w:rsid w:val="00506C28"/>
    <w:rsid w:val="00534DA0"/>
    <w:rsid w:val="00534DDB"/>
    <w:rsid w:val="00543E6C"/>
    <w:rsid w:val="00565087"/>
    <w:rsid w:val="0056573F"/>
    <w:rsid w:val="005B0BBB"/>
    <w:rsid w:val="00611566"/>
    <w:rsid w:val="00623315"/>
    <w:rsid w:val="00646D99"/>
    <w:rsid w:val="00656910"/>
    <w:rsid w:val="00674FAD"/>
    <w:rsid w:val="00683E5E"/>
    <w:rsid w:val="006C66D8"/>
    <w:rsid w:val="006D1E24"/>
    <w:rsid w:val="006E1417"/>
    <w:rsid w:val="006F6A2C"/>
    <w:rsid w:val="00710201"/>
    <w:rsid w:val="0072763C"/>
    <w:rsid w:val="00734A5B"/>
    <w:rsid w:val="00744E76"/>
    <w:rsid w:val="007560F4"/>
    <w:rsid w:val="00757D40"/>
    <w:rsid w:val="00781F0F"/>
    <w:rsid w:val="0078727C"/>
    <w:rsid w:val="0079049D"/>
    <w:rsid w:val="007B18D8"/>
    <w:rsid w:val="007C095F"/>
    <w:rsid w:val="007E33E1"/>
    <w:rsid w:val="008028A4"/>
    <w:rsid w:val="00813245"/>
    <w:rsid w:val="008320AB"/>
    <w:rsid w:val="0087272F"/>
    <w:rsid w:val="008768CA"/>
    <w:rsid w:val="00877EF9"/>
    <w:rsid w:val="00880559"/>
    <w:rsid w:val="008B0D50"/>
    <w:rsid w:val="008B5306"/>
    <w:rsid w:val="008E225C"/>
    <w:rsid w:val="0090271F"/>
    <w:rsid w:val="00902DB9"/>
    <w:rsid w:val="0090466A"/>
    <w:rsid w:val="0091172B"/>
    <w:rsid w:val="00936071"/>
    <w:rsid w:val="00940212"/>
    <w:rsid w:val="00942EC2"/>
    <w:rsid w:val="00961B32"/>
    <w:rsid w:val="00970DB3"/>
    <w:rsid w:val="00974BB0"/>
    <w:rsid w:val="00977465"/>
    <w:rsid w:val="00980301"/>
    <w:rsid w:val="009A0AF3"/>
    <w:rsid w:val="009B07CD"/>
    <w:rsid w:val="009B5A91"/>
    <w:rsid w:val="009C19E9"/>
    <w:rsid w:val="009E5880"/>
    <w:rsid w:val="009F188A"/>
    <w:rsid w:val="00A10F02"/>
    <w:rsid w:val="00A204CA"/>
    <w:rsid w:val="00A53724"/>
    <w:rsid w:val="00A82346"/>
    <w:rsid w:val="00A9671C"/>
    <w:rsid w:val="00AA1553"/>
    <w:rsid w:val="00AA741D"/>
    <w:rsid w:val="00AD0A97"/>
    <w:rsid w:val="00AF10A5"/>
    <w:rsid w:val="00B04542"/>
    <w:rsid w:val="00B15449"/>
    <w:rsid w:val="00B45CBF"/>
    <w:rsid w:val="00B47FD1"/>
    <w:rsid w:val="00B516BB"/>
    <w:rsid w:val="00B71108"/>
    <w:rsid w:val="00BD02D4"/>
    <w:rsid w:val="00BD63B9"/>
    <w:rsid w:val="00C03614"/>
    <w:rsid w:val="00C12B51"/>
    <w:rsid w:val="00C24650"/>
    <w:rsid w:val="00C24A3B"/>
    <w:rsid w:val="00C33079"/>
    <w:rsid w:val="00C83A13"/>
    <w:rsid w:val="00C9068C"/>
    <w:rsid w:val="00C92967"/>
    <w:rsid w:val="00CA3D0C"/>
    <w:rsid w:val="00CA654B"/>
    <w:rsid w:val="00CD4C7B"/>
    <w:rsid w:val="00D06AEB"/>
    <w:rsid w:val="00D738D6"/>
    <w:rsid w:val="00D80795"/>
    <w:rsid w:val="00D854BE"/>
    <w:rsid w:val="00D87E00"/>
    <w:rsid w:val="00D9134D"/>
    <w:rsid w:val="00D96D11"/>
    <w:rsid w:val="00DA7A03"/>
    <w:rsid w:val="00DB1818"/>
    <w:rsid w:val="00DC309B"/>
    <w:rsid w:val="00DC4DA2"/>
    <w:rsid w:val="00DD3A94"/>
    <w:rsid w:val="00E1203B"/>
    <w:rsid w:val="00E62835"/>
    <w:rsid w:val="00E77645"/>
    <w:rsid w:val="00E83697"/>
    <w:rsid w:val="00EC4A25"/>
    <w:rsid w:val="00EC6589"/>
    <w:rsid w:val="00F025A2"/>
    <w:rsid w:val="00F07388"/>
    <w:rsid w:val="00F14F57"/>
    <w:rsid w:val="00F2026E"/>
    <w:rsid w:val="00F2210A"/>
    <w:rsid w:val="00F37743"/>
    <w:rsid w:val="00F54A3D"/>
    <w:rsid w:val="00F54CB0"/>
    <w:rsid w:val="00F653B8"/>
    <w:rsid w:val="00F71B89"/>
    <w:rsid w:val="00F7353C"/>
    <w:rsid w:val="00F76F8F"/>
    <w:rsid w:val="00FA1266"/>
    <w:rsid w:val="00FB36FA"/>
    <w:rsid w:val="00FC1192"/>
    <w:rsid w:val="00FE63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674FAD"/>
    <w:rPr>
      <w:color w:val="2B579A"/>
      <w:shd w:val="clear" w:color="auto" w:fill="E6E6E6"/>
    </w:rPr>
  </w:style>
  <w:style w:type="character" w:styleId="FollowedHyperlink">
    <w:name w:val="FollowedHyperlink"/>
    <w:basedOn w:val="DefaultParagraphFont"/>
    <w:rsid w:val="00674FAD"/>
    <w:rPr>
      <w:color w:val="954F72" w:themeColor="followedHyperlink"/>
      <w:u w:val="single"/>
    </w:rPr>
  </w:style>
  <w:style w:type="table" w:styleId="TableGrid">
    <w:name w:val="Table Grid"/>
    <w:basedOn w:val="TableNormal"/>
    <w:rsid w:val="00977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04542"/>
    <w:pPr>
      <w:spacing w:after="200"/>
    </w:pPr>
    <w:rPr>
      <w:i/>
      <w:iCs/>
      <w:color w:val="44546A" w:themeColor="text2"/>
      <w:sz w:val="18"/>
      <w:szCs w:val="18"/>
    </w:rPr>
  </w:style>
  <w:style w:type="character" w:styleId="CommentReference">
    <w:name w:val="annotation reference"/>
    <w:basedOn w:val="DefaultParagraphFont"/>
    <w:rsid w:val="00F14F57"/>
    <w:rPr>
      <w:sz w:val="16"/>
      <w:szCs w:val="16"/>
    </w:rPr>
  </w:style>
  <w:style w:type="paragraph" w:styleId="CommentText">
    <w:name w:val="annotation text"/>
    <w:basedOn w:val="Normal"/>
    <w:link w:val="CommentTextChar"/>
    <w:rsid w:val="00F14F57"/>
  </w:style>
  <w:style w:type="character" w:customStyle="1" w:styleId="CommentTextChar">
    <w:name w:val="Comment Text Char"/>
    <w:basedOn w:val="DefaultParagraphFont"/>
    <w:link w:val="CommentText"/>
    <w:rsid w:val="00F14F57"/>
    <w:rPr>
      <w:lang w:eastAsia="en-US"/>
    </w:rPr>
  </w:style>
  <w:style w:type="paragraph" w:styleId="CommentSubject">
    <w:name w:val="annotation subject"/>
    <w:basedOn w:val="CommentText"/>
    <w:next w:val="CommentText"/>
    <w:link w:val="CommentSubjectChar"/>
    <w:rsid w:val="00F14F57"/>
    <w:rPr>
      <w:b/>
      <w:bCs/>
    </w:rPr>
  </w:style>
  <w:style w:type="character" w:customStyle="1" w:styleId="CommentSubjectChar">
    <w:name w:val="Comment Subject Char"/>
    <w:basedOn w:val="CommentTextChar"/>
    <w:link w:val="CommentSubject"/>
    <w:rsid w:val="00F14F57"/>
    <w:rPr>
      <w:b/>
      <w:bCs/>
      <w:lang w:eastAsia="en-US"/>
    </w:rPr>
  </w:style>
  <w:style w:type="paragraph" w:styleId="BalloonText">
    <w:name w:val="Balloon Text"/>
    <w:basedOn w:val="Normal"/>
    <w:link w:val="BalloonTextChar"/>
    <w:rsid w:val="00F14F57"/>
    <w:pPr>
      <w:spacing w:after="0"/>
    </w:pPr>
    <w:rPr>
      <w:rFonts w:ascii="Segoe UI" w:hAnsi="Segoe UI" w:cs="Segoe UI"/>
      <w:sz w:val="18"/>
      <w:szCs w:val="18"/>
    </w:rPr>
  </w:style>
  <w:style w:type="character" w:customStyle="1" w:styleId="BalloonTextChar">
    <w:name w:val="Balloon Text Char"/>
    <w:basedOn w:val="DefaultParagraphFont"/>
    <w:link w:val="BalloonText"/>
    <w:rsid w:val="00F14F5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3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AHs/2017_06_NR/Docs/R2-1706314.zi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WG2_RL2/TSGR2_98/Docs/R2-1706141.zip"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DynaReport/38306.htm" TargetMode="External"/><Relationship Id="rId10" Type="http://schemas.openxmlformats.org/officeDocument/2006/relationships/footnotes" Target="footnotes.xml"/><Relationship Id="rId19" Type="http://schemas.openxmlformats.org/officeDocument/2006/relationships/hyperlink" Target="http://www.3gpp.org/DynaReport/38306.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AHs/2017_06_NR/Docs/R2-17063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SP-5AIRPNAIUNRU-859666464-479</_dlc_DocId>
    <_dlc_DocIdUrl xmlns="71c5aaf6-e6ce-465b-b873-5148d2a4c105">
      <Url>https://nokia.sharepoint.com/sites/c5g/e2earch/_layouts/15/DocIdRedir.aspx?ID=SP-5AIRPNAIUNRU-859666464-479</Url>
      <Description>SP-5AIRPNAIUNRU-859666464-479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A6637-D8EA-42A8-AF5D-8F57E2982136}">
  <ds:schemaRefs>
    <ds:schemaRef ds:uri="http://schemas.microsoft.com/sharepoint/v3/contenttype/forms"/>
  </ds:schemaRefs>
</ds:datastoreItem>
</file>

<file path=customXml/itemProps2.xml><?xml version="1.0" encoding="utf-8"?>
<ds:datastoreItem xmlns:ds="http://schemas.openxmlformats.org/officeDocument/2006/customXml" ds:itemID="{CA24E149-C741-47E3-8B01-A1ED0CC3A586}">
  <ds:schemaRefs>
    <ds:schemaRef ds:uri="http://schemas.microsoft.com/office/2006/documentManagement/types"/>
    <ds:schemaRef ds:uri="http://schemas.openxmlformats.org/package/2006/metadata/core-properties"/>
    <ds:schemaRef ds:uri="http://schemas.microsoft.com/office/2006/metadata/properties"/>
    <ds:schemaRef ds:uri="3b34c8f0-1ef5-4d1e-bb66-517ce7fe7356"/>
    <ds:schemaRef ds:uri="http://purl.org/dc/dcmitype/"/>
    <ds:schemaRef ds:uri="http://purl.org/dc/terms/"/>
    <ds:schemaRef ds:uri="http://purl.org/dc/elements/1.1/"/>
    <ds:schemaRef ds:uri="71c5aaf6-e6ce-465b-b873-5148d2a4c105"/>
    <ds:schemaRef ds:uri="a3840f4f-04be-43d1-b2ef-6ff1382503c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B41BA7B-0D6E-44BD-A430-5B5D0494C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E833C-35EB-4935-B488-3D1996C97BB6}">
  <ds:schemaRefs>
    <ds:schemaRef ds:uri="http://schemas.microsoft.com/sharepoint/events"/>
  </ds:schemaRefs>
</ds:datastoreItem>
</file>

<file path=customXml/itemProps5.xml><?xml version="1.0" encoding="utf-8"?>
<ds:datastoreItem xmlns:ds="http://schemas.openxmlformats.org/officeDocument/2006/customXml" ds:itemID="{28B58586-C7AF-4A09-A4EC-084078CE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1293</Words>
  <Characters>10479</Characters>
  <Application>Microsoft Office Word</Application>
  <DocSecurity>0</DocSecurity>
  <Lines>87</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11749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2</cp:revision>
  <dcterms:created xsi:type="dcterms:W3CDTF">2017-06-16T19:08:00Z</dcterms:created>
  <dcterms:modified xsi:type="dcterms:W3CDTF">2017-06-16T19:08:00Z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5b20f37e-cb02-4133-9519-3ed3b720dd9e</vt:lpwstr>
  </property>
</Properties>
</file>